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49" w:rsidRDefault="00551048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  <w:t>Преимущества официальных трудовых отношений</w:t>
      </w:r>
    </w:p>
    <w:p w:rsidR="004B6F49" w:rsidRDefault="00551048">
      <w:pPr>
        <w:spacing w:after="0"/>
        <w:ind w:left="567" w:right="1735"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Официальные трудовые отношения предполагают:</w:t>
      </w:r>
    </w:p>
    <w:p w:rsidR="004B6F49" w:rsidRDefault="00551048">
      <w:pPr>
        <w:spacing w:after="0"/>
        <w:ind w:left="567"/>
        <w:jc w:val="center"/>
        <w:rPr>
          <w:rFonts w:ascii="Times New Roman" w:hAnsi="Times New Roman" w:cs="Times New Roman"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>-  заключение трудового договора в соответствии с Трудовым кодексом РФ;</w:t>
      </w:r>
    </w:p>
    <w:p w:rsidR="004B6F49" w:rsidRDefault="00551048">
      <w:pPr>
        <w:spacing w:after="0"/>
        <w:ind w:left="567"/>
        <w:jc w:val="center"/>
        <w:rPr>
          <w:rFonts w:ascii="Times New Roman" w:hAnsi="Times New Roman" w:cs="Times New Roman"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>-  налоговые отчисления в бюджет;</w:t>
      </w:r>
    </w:p>
    <w:p w:rsidR="004B6F49" w:rsidRDefault="00551048">
      <w:pPr>
        <w:spacing w:after="0"/>
        <w:ind w:left="567" w:right="1310"/>
        <w:jc w:val="center"/>
        <w:rPr>
          <w:rFonts w:ascii="Times New Roman" w:hAnsi="Times New Roman" w:cs="Times New Roman"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>-  уплату страховых взносов во внебюджетные фонды.</w:t>
      </w:r>
    </w:p>
    <w:tbl>
      <w:tblPr>
        <w:tblStyle w:val="1-11"/>
        <w:tblW w:w="14884" w:type="dxa"/>
        <w:tblBorders>
          <w:insideV w:val="single" w:sz="2" w:space="0" w:color="17365D" w:themeColor="text2" w:themeShade="BF"/>
        </w:tblBorders>
        <w:tblLook w:val="04A0"/>
      </w:tblPr>
      <w:tblGrid>
        <w:gridCol w:w="5778"/>
        <w:gridCol w:w="9106"/>
      </w:tblGrid>
      <w:tr w:rsidR="004B6F49" w:rsidTr="004B6F49">
        <w:trPr>
          <w:cnfStyle w:val="100000000000"/>
          <w:trHeight w:val="436"/>
        </w:trPr>
        <w:tc>
          <w:tcPr>
            <w:cnfStyle w:val="00100000000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548DD4" w:themeFill="text2" w:themeFillTint="99"/>
            <w:vAlign w:val="center"/>
          </w:tcPr>
          <w:p w:rsidR="004B6F49" w:rsidRDefault="00551048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работодателя +</w:t>
            </w:r>
          </w:p>
        </w:tc>
        <w:tc>
          <w:tcPr>
            <w:tcW w:w="91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  <w:vAlign w:val="center"/>
          </w:tcPr>
          <w:p w:rsidR="004B6F49" w:rsidRDefault="00551048">
            <w:pPr>
              <w:ind w:left="284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работника +</w:t>
            </w:r>
          </w:p>
        </w:tc>
      </w:tr>
      <w:tr w:rsidR="004B6F49" w:rsidTr="004B6F49">
        <w:trPr>
          <w:cnfStyle w:val="000000100000"/>
        </w:trPr>
        <w:tc>
          <w:tcPr>
            <w:cnfStyle w:val="001000000000"/>
            <w:tcW w:w="5778" w:type="dxa"/>
            <w:shd w:val="clear" w:color="auto" w:fill="C6D9F1" w:themeFill="text2" w:themeFillTint="33"/>
          </w:tcPr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Хорошая деловая репутация, положительный имидж социально ответственного работодателя.</w:t>
            </w:r>
          </w:p>
          <w:p w:rsidR="004B6F49" w:rsidRDefault="004B6F49">
            <w:pPr>
              <w:pStyle w:val="a4"/>
              <w:ind w:left="284"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Возможность участия в программах государственной поддержки.</w:t>
            </w:r>
          </w:p>
          <w:p w:rsidR="004B6F49" w:rsidRDefault="004B6F49">
            <w:pPr>
              <w:ind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 требовать от работника исполнения определенной трудовым договором трудовой функции, соблюдения правил внутреннего трудового распорядка, действующих в организации.</w:t>
            </w:r>
          </w:p>
          <w:p w:rsidR="004B6F49" w:rsidRDefault="004B6F49">
            <w:pPr>
              <w:ind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Возможность привлечь к материальной и дисциплинарной ответственности в порядке, установленном Трудовым кодексом РФ и иными нормативными актами работников, виновных в нарушении трудового законодательства и иных актов, содержащих нормы трудового права.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6" w:type="dxa"/>
            <w:shd w:val="clear" w:color="auto" w:fill="C6D9F1" w:themeFill="text2" w:themeFillTint="33"/>
          </w:tcPr>
          <w:p w:rsidR="004B6F49" w:rsidRDefault="00551048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ойные условия труда (рабочее место, оборудованное в соответствии с трудовым договором и требованиями охраны труда).</w:t>
            </w:r>
          </w:p>
          <w:p w:rsidR="004B6F49" w:rsidRDefault="004B6F49">
            <w:pPr>
              <w:ind w:left="1"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Получение официальной заработной платы в установленные сроки и в полном объеме.</w:t>
            </w:r>
          </w:p>
          <w:p w:rsidR="004B6F49" w:rsidRDefault="004B6F49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Ежегодный оплачиваемый отпуск.</w:t>
            </w:r>
          </w:p>
          <w:p w:rsidR="004B6F49" w:rsidRDefault="004B6F49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Оплачиваемый лист временной нетрудоспособности (больничный).</w:t>
            </w:r>
          </w:p>
          <w:p w:rsidR="004B6F49" w:rsidRDefault="004B6F49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Пенсионное обеспечение в полном объёме.</w:t>
            </w:r>
          </w:p>
          <w:p w:rsidR="004B6F49" w:rsidRDefault="004B6F49">
            <w:pPr>
              <w:pStyle w:val="a4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2"/>
              </w:num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Осуществление обязательного социального страхования от несчастных случаев на производстве и профессиональных заболеваний.</w:t>
            </w:r>
          </w:p>
          <w:p w:rsidR="004B6F49" w:rsidRDefault="004B6F49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Получение предусмотренных зако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нодательством выплат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B6F49" w:rsidRDefault="00551048">
            <w:pPr>
              <w:pStyle w:val="a4"/>
              <w:ind w:left="317"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увольнении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связи с ликвидацией организации, сокращением численности или штата работников, прекращением деятельности индивидуального предпринимателя;</w:t>
            </w:r>
          </w:p>
          <w:p w:rsidR="004B6F49" w:rsidRDefault="00551048">
            <w:pPr>
              <w:pStyle w:val="a4"/>
              <w:ind w:left="317" w:right="62" w:firstLine="3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 временном простое;</w:t>
            </w:r>
          </w:p>
          <w:p w:rsidR="004B6F49" w:rsidRDefault="00551048">
            <w:pPr>
              <w:pStyle w:val="a4"/>
              <w:ind w:left="317" w:right="62" w:firstLine="3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командировку;</w:t>
            </w:r>
          </w:p>
          <w:p w:rsidR="004B6F49" w:rsidRDefault="00551048">
            <w:pPr>
              <w:pStyle w:val="a4"/>
              <w:ind w:left="317" w:right="62" w:firstLine="3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временном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переводе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другую работу, в т.ч. по состоянию здоровья;</w:t>
            </w:r>
          </w:p>
          <w:p w:rsidR="004B6F49" w:rsidRDefault="00551048">
            <w:pPr>
              <w:pStyle w:val="a4"/>
              <w:ind w:left="317" w:right="62" w:firstLine="3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прохождении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медицинского осмотра.</w:t>
            </w:r>
          </w:p>
          <w:p w:rsidR="004B6F49" w:rsidRDefault="004B6F49">
            <w:pPr>
              <w:pStyle w:val="a4"/>
              <w:ind w:left="284" w:right="62" w:firstLine="34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3"/>
              </w:numPr>
              <w:ind w:left="284" w:right="62" w:hanging="284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Получение пособий по беременности и родам, по уходу за ребенком.</w:t>
            </w:r>
          </w:p>
          <w:p w:rsidR="004B6F49" w:rsidRDefault="004B6F49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Получение налоговых вычетов (оплата образования, лечения, приобретение недвижимости).</w:t>
            </w:r>
          </w:p>
          <w:p w:rsidR="004B6F49" w:rsidRDefault="004B6F49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Возможность получить кредит и ипотеку.</w:t>
            </w:r>
          </w:p>
        </w:tc>
      </w:tr>
    </w:tbl>
    <w:p w:rsidR="004B6F49" w:rsidRDefault="00551048">
      <w:pPr>
        <w:pStyle w:val="a5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  <w:lastRenderedPageBreak/>
        <w:t>Негативные последствия неформальной занятости</w:t>
      </w:r>
    </w:p>
    <w:p w:rsidR="004B6F49" w:rsidRDefault="004B6F49">
      <w:pPr>
        <w:pStyle w:val="a5"/>
        <w:rPr>
          <w:color w:val="365F91" w:themeColor="accent1" w:themeShade="BF"/>
          <w:sz w:val="16"/>
          <w:szCs w:val="16"/>
        </w:rPr>
      </w:pPr>
    </w:p>
    <w:p w:rsidR="004B6F49" w:rsidRDefault="00551048">
      <w:pPr>
        <w:pStyle w:val="a5"/>
        <w:jc w:val="center"/>
        <w:rPr>
          <w:i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Неформальная занятость</w:t>
      </w:r>
      <w:r>
        <w:rPr>
          <w:i/>
          <w:color w:val="365F91" w:themeColor="accent1" w:themeShade="BF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>занятость</w:t>
      </w:r>
      <w:bookmarkStart w:id="0" w:name="_GoBack"/>
      <w:bookmarkEnd w:id="0"/>
      <w:r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>, не декларируемая в целях налогообложения, социальной защиты работников и соблюдения трудового законодательства Российской Федерации.</w:t>
      </w:r>
    </w:p>
    <w:p w:rsidR="004B6F49" w:rsidRDefault="004B6F49">
      <w:pPr>
        <w:pStyle w:val="a5"/>
        <w:rPr>
          <w:sz w:val="20"/>
          <w:szCs w:val="20"/>
        </w:rPr>
      </w:pPr>
    </w:p>
    <w:tbl>
      <w:tblPr>
        <w:tblStyle w:val="1-11"/>
        <w:tblW w:w="14850" w:type="dxa"/>
        <w:tblBorders>
          <w:insideV w:val="single" w:sz="2" w:space="0" w:color="17365D" w:themeColor="text2" w:themeShade="BF"/>
        </w:tblBorders>
        <w:tblLook w:val="04A0"/>
      </w:tblPr>
      <w:tblGrid>
        <w:gridCol w:w="5778"/>
        <w:gridCol w:w="9072"/>
      </w:tblGrid>
      <w:tr w:rsidR="004B6F49" w:rsidTr="004B6F49">
        <w:trPr>
          <w:cnfStyle w:val="100000000000"/>
          <w:trHeight w:val="507"/>
        </w:trPr>
        <w:tc>
          <w:tcPr>
            <w:cnfStyle w:val="00100000000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548DD4" w:themeFill="text2" w:themeFillTint="99"/>
            <w:vAlign w:val="center"/>
          </w:tcPr>
          <w:p w:rsidR="004B6F49" w:rsidRDefault="00551048">
            <w:pPr>
              <w:pStyle w:val="a4"/>
              <w:ind w:left="284" w:right="175"/>
              <w:jc w:val="center"/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EEECE1" w:themeColor="background2"/>
                <w:sz w:val="28"/>
                <w:szCs w:val="28"/>
              </w:rPr>
              <w:t>Для работодателя -</w:t>
            </w:r>
          </w:p>
        </w:tc>
        <w:tc>
          <w:tcPr>
            <w:tcW w:w="90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  <w:vAlign w:val="center"/>
          </w:tcPr>
          <w:p w:rsidR="004B6F49" w:rsidRDefault="00551048">
            <w:pPr>
              <w:pStyle w:val="a4"/>
              <w:ind w:left="284" w:right="175"/>
              <w:jc w:val="center"/>
              <w:cnfStyle w:val="100000000000"/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EEECE1" w:themeColor="background2"/>
                <w:sz w:val="28"/>
                <w:szCs w:val="28"/>
              </w:rPr>
              <w:t>Для работника -</w:t>
            </w:r>
          </w:p>
        </w:tc>
      </w:tr>
      <w:tr w:rsidR="004B6F49" w:rsidTr="004B6F49">
        <w:trPr>
          <w:cnfStyle w:val="000000100000"/>
        </w:trPr>
        <w:tc>
          <w:tcPr>
            <w:cnfStyle w:val="001000000000"/>
            <w:tcW w:w="5778" w:type="dxa"/>
            <w:shd w:val="clear" w:color="auto" w:fill="C6D9F1" w:themeFill="text2" w:themeFillTint="33"/>
          </w:tcPr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Административные штрафы до 100 тысяч рублей, при повторном нарушении – до 200 тысяч рублей, дисквалификация должностного лица на срок от 1 года до 3 лет (ст. 5.27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РФ).</w:t>
            </w:r>
          </w:p>
          <w:p w:rsidR="004B6F49" w:rsidRDefault="004B6F49">
            <w:pPr>
              <w:ind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 возможности принять участие в прог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раммах государственной поддержки.</w:t>
            </w:r>
          </w:p>
          <w:p w:rsidR="004B6F49" w:rsidRDefault="004B6F49">
            <w:pPr>
              <w:ind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 возможности привлечь работника к ответственности за несоблюдение трудовой дисциплины, обеспечить сохранность материальных ценностей.</w:t>
            </w:r>
          </w:p>
          <w:p w:rsidR="004B6F49" w:rsidRDefault="004B6F49">
            <w:pPr>
              <w:ind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Риск проведения проверок со стороны контрольно - надзорных органов.</w:t>
            </w:r>
          </w:p>
          <w:p w:rsidR="004B6F49" w:rsidRDefault="004B6F49">
            <w:pPr>
              <w:pStyle w:val="a4"/>
              <w:ind w:left="284" w:right="1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C6D9F1" w:themeFill="text2" w:themeFillTint="33"/>
          </w:tcPr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есоответствие условий труда и продолжительности рабочего дня нормам трудового законодательства.</w:t>
            </w:r>
          </w:p>
          <w:p w:rsidR="004B6F49" w:rsidRDefault="004B6F49">
            <w:pPr>
              <w:ind w:left="1"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Неперечисление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страховых взносов во внебюджетные фонды: Фонд пенсионного и социального страхования РФ,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 фонд обязательного  медицинского страхования РФ.</w:t>
            </w:r>
          </w:p>
          <w:p w:rsidR="004B6F49" w:rsidRDefault="004B6F49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Отсутствие права на страховую пенсию при достижении пенсионного возраста.</w:t>
            </w:r>
          </w:p>
          <w:p w:rsidR="004B6F49" w:rsidRDefault="004B6F49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Отсутствие доплаты за работу в ночное время, за сверхурочную работу, работу в праздничные дни.</w:t>
            </w:r>
          </w:p>
          <w:p w:rsidR="004B6F49" w:rsidRDefault="004B6F49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Отсутствие каких-либо 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оциальных гарантий (оплаченного листа временной нетрудоспособности, оплачиваемого отпуска, выплат, связанных с сокращением, простоем, обучением, рождением ребенка и др.)</w:t>
            </w:r>
          </w:p>
          <w:p w:rsidR="004B6F49" w:rsidRDefault="004B6F49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Риск увольнения в любой момент по инициативе работодателя без выплаты заработной плат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ы.</w:t>
            </w:r>
          </w:p>
          <w:p w:rsidR="004B6F49" w:rsidRDefault="004B6F49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размер пособия по безработице.</w:t>
            </w:r>
          </w:p>
          <w:p w:rsidR="004B6F49" w:rsidRDefault="004B6F49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Невозможность доказательства стажа и опыта предыдущей работы при трудоустройстве к другому работодателю. </w:t>
            </w:r>
          </w:p>
          <w:p w:rsidR="004B6F49" w:rsidRDefault="004B6F49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Получение отказа в расследовании несчастного случая на производстве.</w:t>
            </w:r>
          </w:p>
          <w:p w:rsidR="004B6F49" w:rsidRDefault="004B6F49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shd w:val="clear" w:color="auto" w:fill="C6D9F1" w:themeFill="text2" w:themeFillTint="33"/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Отказ в получении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>банковского</w:t>
            </w:r>
            <w:r>
              <w:rPr>
                <w:rFonts w:ascii="Helvetica" w:hAnsi="Helvetica"/>
                <w:color w:val="333333"/>
                <w:sz w:val="27"/>
                <w:szCs w:val="27"/>
                <w:shd w:val="clear" w:color="auto" w:fill="C6D9F1" w:themeFill="text2" w:themeFillTint="3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>кредита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B6F49" w:rsidRDefault="004B6F49">
            <w:pPr>
              <w:shd w:val="clear" w:color="auto" w:fill="C6D9F1" w:themeFill="text2" w:themeFillTint="33"/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4B6F49" w:rsidRDefault="00551048">
            <w:pPr>
              <w:pStyle w:val="a4"/>
              <w:numPr>
                <w:ilvl w:val="0"/>
                <w:numId w:val="1"/>
              </w:numPr>
              <w:shd w:val="clear" w:color="auto" w:fill="C6D9F1" w:themeFill="text2" w:themeFillTint="33"/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Угроза привлечения к ответственности за незадекларированные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 xml:space="preserve"> доходы</w:t>
            </w:r>
            <w:r>
              <w:rPr>
                <w:color w:val="333333"/>
                <w:sz w:val="27"/>
                <w:szCs w:val="27"/>
                <w:shd w:val="clear" w:color="auto" w:fill="DBE5F1" w:themeFill="accent1" w:themeFillTint="33"/>
              </w:rPr>
              <w:t xml:space="preserve"> </w:t>
            </w:r>
            <w:r>
              <w:rPr>
                <w:rFonts w:ascii="Helvetica" w:hAnsi="Helvetica"/>
                <w:i/>
                <w:color w:val="333333"/>
                <w:sz w:val="27"/>
                <w:szCs w:val="27"/>
                <w:shd w:val="clear" w:color="auto" w:fill="C6D9F1" w:themeFill="text2" w:themeFillTint="33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>за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уклонение от уплаты налогов физическим лицом предусмотрена уголовная ответственность по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статье 198 УК РФ)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:rsidR="004B6F49" w:rsidRDefault="004B6F49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4B6F49" w:rsidSect="004B6F49">
      <w:headerReference w:type="default" r:id="rId8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048" w:rsidRDefault="00551048">
      <w:pPr>
        <w:spacing w:after="0" w:line="240" w:lineRule="auto"/>
      </w:pPr>
      <w:r>
        <w:separator/>
      </w:r>
    </w:p>
  </w:endnote>
  <w:endnote w:type="continuationSeparator" w:id="0">
    <w:p w:rsidR="00551048" w:rsidRDefault="0055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048" w:rsidRDefault="00551048">
      <w:pPr>
        <w:spacing w:after="0" w:line="240" w:lineRule="auto"/>
      </w:pPr>
      <w:r>
        <w:separator/>
      </w:r>
    </w:p>
  </w:footnote>
  <w:footnote w:type="continuationSeparator" w:id="0">
    <w:p w:rsidR="00551048" w:rsidRDefault="0055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F49" w:rsidRDefault="00551048">
    <w:pPr>
      <w:pStyle w:val="a7"/>
      <w:jc w:val="center"/>
      <w:rPr>
        <w:rFonts w:ascii="Times New Roman" w:hAnsi="Times New Roman" w:cs="Times New Roman"/>
        <w:b/>
        <w:i/>
        <w:color w:val="0F243E" w:themeColor="text2" w:themeShade="80"/>
        <w:sz w:val="36"/>
        <w:szCs w:val="36"/>
      </w:rPr>
    </w:pPr>
    <w:r>
      <w:rPr>
        <w:rFonts w:ascii="Times New Roman" w:hAnsi="Times New Roman" w:cs="Times New Roman"/>
        <w:b/>
        <w:i/>
        <w:color w:val="0F243E" w:themeColor="text2" w:themeShade="80"/>
        <w:sz w:val="36"/>
        <w:szCs w:val="36"/>
      </w:rPr>
      <w:t>Легализация трудовых отношений</w:t>
    </w:r>
  </w:p>
  <w:p w:rsidR="004B6F49" w:rsidRDefault="004B6F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504F"/>
    <w:multiLevelType w:val="hybridMultilevel"/>
    <w:tmpl w:val="439C0EA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13537995"/>
    <w:multiLevelType w:val="hybridMultilevel"/>
    <w:tmpl w:val="FDA08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65F9D"/>
    <w:multiLevelType w:val="hybridMultilevel"/>
    <w:tmpl w:val="84AE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64028"/>
    <w:multiLevelType w:val="hybridMultilevel"/>
    <w:tmpl w:val="ED9E52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F49"/>
    <w:rsid w:val="004B6F49"/>
    <w:rsid w:val="00551048"/>
    <w:rsid w:val="0089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6F49"/>
    <w:pPr>
      <w:ind w:left="720"/>
      <w:contextualSpacing/>
    </w:pPr>
  </w:style>
  <w:style w:type="table" w:customStyle="1" w:styleId="1">
    <w:name w:val="Светлый список1"/>
    <w:basedOn w:val="a1"/>
    <w:uiPriority w:val="61"/>
    <w:rsid w:val="004B6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No Spacing"/>
    <w:uiPriority w:val="1"/>
    <w:qFormat/>
    <w:rsid w:val="004B6F49"/>
    <w:pPr>
      <w:spacing w:after="0" w:line="240" w:lineRule="auto"/>
    </w:pPr>
  </w:style>
  <w:style w:type="character" w:styleId="a6">
    <w:name w:val="Emphasis"/>
    <w:basedOn w:val="a0"/>
    <w:uiPriority w:val="20"/>
    <w:qFormat/>
    <w:rsid w:val="004B6F49"/>
    <w:rPr>
      <w:i/>
      <w:iCs/>
    </w:rPr>
  </w:style>
  <w:style w:type="table" w:customStyle="1" w:styleId="1-11">
    <w:name w:val="Средняя заливка 1 - Акцент 11"/>
    <w:basedOn w:val="a1"/>
    <w:uiPriority w:val="63"/>
    <w:rsid w:val="004B6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0" w:space="0" w:color="auto"/>
          <w:insideV w:val="none" w:sz="0" w:space="0" w:color="auto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0" w:space="0" w:color="auto"/>
          <w:insideV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one" w:sz="0" w:space="0" w:color="auto"/>
          <w:insideV w:val="none" w:sz="0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one" w:sz="0" w:space="0" w:color="auto"/>
          <w:insideV w:val="none" w:sz="0" w:space="0" w:color="auto"/>
        </w:tcBorders>
      </w:tcPr>
    </w:tblStylePr>
  </w:style>
  <w:style w:type="paragraph" w:styleId="a7">
    <w:name w:val="header"/>
    <w:basedOn w:val="a"/>
    <w:link w:val="a8"/>
    <w:uiPriority w:val="99"/>
    <w:unhideWhenUsed/>
    <w:rsid w:val="004B6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6F49"/>
  </w:style>
  <w:style w:type="paragraph" w:styleId="a9">
    <w:name w:val="footer"/>
    <w:basedOn w:val="a"/>
    <w:link w:val="aa"/>
    <w:uiPriority w:val="99"/>
    <w:semiHidden/>
    <w:unhideWhenUsed/>
    <w:rsid w:val="004B6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6F49"/>
  </w:style>
  <w:style w:type="paragraph" w:styleId="ab">
    <w:name w:val="Balloon Text"/>
    <w:basedOn w:val="a"/>
    <w:link w:val="ac"/>
    <w:uiPriority w:val="99"/>
    <w:semiHidden/>
    <w:unhideWhenUsed/>
    <w:rsid w:val="004B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6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CF3D0-CDDD-466B-9896-AFF550A9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solofova</dc:creator>
  <cp:lastModifiedBy>ADM 00</cp:lastModifiedBy>
  <cp:revision>2</cp:revision>
  <dcterms:created xsi:type="dcterms:W3CDTF">2024-12-20T05:34:00Z</dcterms:created>
  <dcterms:modified xsi:type="dcterms:W3CDTF">2024-12-20T05:34:00Z</dcterms:modified>
</cp:coreProperties>
</file>