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Правительства Пензенской области</w:t>
      </w:r>
    </w:p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от 18 октября 2019 г. N 646-пП</w:t>
      </w:r>
    </w:p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bookmarkStart w:id="0" w:name="_GoBack"/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ИСЧЕРПЫВАЮЩИЙ ПЕРЕЧЕНЬ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ДОКУМЕНТОВ, КОТОРЫЕ ПРИЛАГАЮТСЯ К ЗАЯВЛЕНИЮ О ВКЛЮЧЕНИИ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В СПИСОК ДЕТЕЙ-СИРОТ</w:t>
      </w:r>
      <w:bookmarkEnd w:id="0"/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И ДЕТЕЙ, ОСТАВШИХСЯ БЕЗ ПОПЕЧЕНИЯ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РОДИТЕЛЕЙ, ЛИЦ ИЗ ЧИСЛА ДЕТЕЙ-СИРОТ И ДЕТЕЙ, ОСТАВШИХСЯ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БЕЗ ПОПЕЧЕНИЯ РОДИТЕЛЕЙ, ЛИЦ, КОТОРЫЕ ОТНОСИЛИСЬ К КАТЕГОРИИ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ДЕТЕЙ-СИРОТ И ДЕТЕЙ, ОСТАВШИХСЯ БЕЗ ПОПЕЧЕНИЯ РОДИТЕЛЕЙ, ЛИЦ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ИЗ ЧИСЛА ДЕТЕЙ-СИРОТ И ДЕТЕЙ, ОСТАВШИХСЯ БЕЗ ПОПЕЧЕНИЯ</w:t>
      </w:r>
    </w:p>
    <w:p w:rsidR="00F03583" w:rsidRPr="00F03583" w:rsidRDefault="00F03583" w:rsidP="00F035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F03583">
        <w:rPr>
          <w:rFonts w:ascii="Times New Roman" w:eastAsiaTheme="minorHAnsi" w:hAnsi="Times New Roman" w:cs="Times New Roman"/>
          <w:color w:val="auto"/>
          <w:sz w:val="20"/>
          <w:szCs w:val="20"/>
        </w:rPr>
        <w:t>РОДИТЕЛЕЙ, И ДОСТИГЛИ ВОЗРАСТА 23 ЛЕТ</w:t>
      </w:r>
    </w:p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03583" w:rsidRPr="00F03583" w:rsidRDefault="00F03583" w:rsidP="00F03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3583">
        <w:rPr>
          <w:rFonts w:ascii="Times New Roman" w:hAnsi="Times New Roman" w:cs="Times New Roman"/>
          <w:sz w:val="20"/>
          <w:szCs w:val="20"/>
        </w:rPr>
        <w:t>Настоящий Перечень устанавливает исчерпывающий список документов, необходимых для включения граждан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благоустроенными</w:t>
      </w:r>
      <w:proofErr w:type="gramEnd"/>
      <w:r w:rsidRPr="00F03583">
        <w:rPr>
          <w:rFonts w:ascii="Times New Roman" w:hAnsi="Times New Roman" w:cs="Times New Roman"/>
          <w:sz w:val="20"/>
          <w:szCs w:val="20"/>
        </w:rPr>
        <w:t xml:space="preserve">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помещений, сформированного органами местного самоуправления (далее - граждане, Список).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15"/>
      <w:bookmarkEnd w:id="1"/>
      <w:r w:rsidRPr="00F03583">
        <w:rPr>
          <w:rFonts w:ascii="Times New Roman" w:hAnsi="Times New Roman" w:cs="Times New Roman"/>
          <w:sz w:val="20"/>
          <w:szCs w:val="20"/>
        </w:rPr>
        <w:t>1. Копия паспорта гражданина.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16"/>
      <w:bookmarkEnd w:id="2"/>
      <w:r w:rsidRPr="00F03583">
        <w:rPr>
          <w:rFonts w:ascii="Times New Roman" w:hAnsi="Times New Roman" w:cs="Times New Roman"/>
          <w:sz w:val="20"/>
          <w:szCs w:val="20"/>
        </w:rPr>
        <w:t>2. Копия свидетельства о рождении гражданина, выданного органами записи актов гражданского состояния или консульскими учреждениями Российской Федерации.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 xml:space="preserve">3. Документ, свидетельствующий об объявлении несовершеннолетнего гражданина полностью </w:t>
      </w:r>
      <w:proofErr w:type="gramStart"/>
      <w:r w:rsidRPr="00F03583">
        <w:rPr>
          <w:rFonts w:ascii="Times New Roman" w:hAnsi="Times New Roman" w:cs="Times New Roman"/>
          <w:sz w:val="20"/>
          <w:szCs w:val="20"/>
        </w:rPr>
        <w:t>дееспособным</w:t>
      </w:r>
      <w:proofErr w:type="gramEnd"/>
      <w:r w:rsidRPr="00F03583">
        <w:rPr>
          <w:rFonts w:ascii="Times New Roman" w:hAnsi="Times New Roman" w:cs="Times New Roman"/>
          <w:sz w:val="20"/>
          <w:szCs w:val="20"/>
        </w:rPr>
        <w:t xml:space="preserve"> (эмансипированным), - для эмансипированных лиц: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18"/>
      <w:bookmarkEnd w:id="3"/>
      <w:r w:rsidRPr="00F03583">
        <w:rPr>
          <w:rFonts w:ascii="Times New Roman" w:hAnsi="Times New Roman" w:cs="Times New Roman"/>
          <w:sz w:val="20"/>
          <w:szCs w:val="20"/>
        </w:rPr>
        <w:t xml:space="preserve">а) решение органа опеки и попечительства о признании несовершеннолетнего гражданина полностью </w:t>
      </w:r>
      <w:proofErr w:type="gramStart"/>
      <w:r w:rsidRPr="00F03583">
        <w:rPr>
          <w:rFonts w:ascii="Times New Roman" w:hAnsi="Times New Roman" w:cs="Times New Roman"/>
          <w:sz w:val="20"/>
          <w:szCs w:val="20"/>
        </w:rPr>
        <w:t>дееспособным</w:t>
      </w:r>
      <w:proofErr w:type="gramEnd"/>
      <w:r w:rsidRPr="00F03583">
        <w:rPr>
          <w:rFonts w:ascii="Times New Roman" w:hAnsi="Times New Roman" w:cs="Times New Roman"/>
          <w:sz w:val="20"/>
          <w:szCs w:val="20"/>
        </w:rPr>
        <w:t>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9"/>
      <w:bookmarkEnd w:id="4"/>
      <w:r w:rsidRPr="00F03583">
        <w:rPr>
          <w:rFonts w:ascii="Times New Roman" w:hAnsi="Times New Roman" w:cs="Times New Roman"/>
          <w:sz w:val="20"/>
          <w:szCs w:val="20"/>
        </w:rPr>
        <w:t xml:space="preserve">б) копия решения суда об объявлении несовершеннолетнего гражданина полностью </w:t>
      </w:r>
      <w:proofErr w:type="gramStart"/>
      <w:r w:rsidRPr="00F03583">
        <w:rPr>
          <w:rFonts w:ascii="Times New Roman" w:hAnsi="Times New Roman" w:cs="Times New Roman"/>
          <w:sz w:val="20"/>
          <w:szCs w:val="20"/>
        </w:rPr>
        <w:t>дееспособным</w:t>
      </w:r>
      <w:proofErr w:type="gramEnd"/>
      <w:r w:rsidRPr="00F03583">
        <w:rPr>
          <w:rFonts w:ascii="Times New Roman" w:hAnsi="Times New Roman" w:cs="Times New Roman"/>
          <w:sz w:val="20"/>
          <w:szCs w:val="20"/>
        </w:rPr>
        <w:t>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4. Копии соответствующих документов, подтверждающих отсутствие родителей (единственного родителя) или невозможность воспитания ими (им) детей: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21"/>
      <w:bookmarkEnd w:id="5"/>
      <w:proofErr w:type="gramStart"/>
      <w:r w:rsidRPr="00F03583">
        <w:rPr>
          <w:rFonts w:ascii="Times New Roman" w:hAnsi="Times New Roman" w:cs="Times New Roman"/>
          <w:sz w:val="20"/>
          <w:szCs w:val="20"/>
        </w:rPr>
        <w:t>а) акт об оставлении ребенка матерью, не предъявившей документ, удостоверяющий ее личность, в медицинской организации, в которой происходили роды или в которую обратилась мать после родов;</w:t>
      </w:r>
      <w:proofErr w:type="gramEnd"/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22"/>
      <w:bookmarkEnd w:id="6"/>
      <w:r w:rsidRPr="00F03583">
        <w:rPr>
          <w:rFonts w:ascii="Times New Roman" w:hAnsi="Times New Roman" w:cs="Times New Roman"/>
          <w:sz w:val="20"/>
          <w:szCs w:val="20"/>
        </w:rPr>
        <w:t>б) вступившее в законную силу решение суда о лишении родителей (родителя) родительских прав (об ограничении в родительских правах), признании родителей (родителя) недееспособными (ограниченно дееспособными), безвестно отсутствующими или умершими;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23"/>
      <w:bookmarkEnd w:id="7"/>
      <w:r w:rsidRPr="00F03583">
        <w:rPr>
          <w:rFonts w:ascii="Times New Roman" w:hAnsi="Times New Roman" w:cs="Times New Roman"/>
          <w:sz w:val="20"/>
          <w:szCs w:val="20"/>
        </w:rPr>
        <w:t>в) свидетельство о смерти родителей (родителя), выданное органами записи актов гражданского состояния или консульскими учреждениями Российской Федерации;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24"/>
      <w:bookmarkEnd w:id="8"/>
      <w:r w:rsidRPr="00F03583">
        <w:rPr>
          <w:rFonts w:ascii="Times New Roman" w:hAnsi="Times New Roman" w:cs="Times New Roman"/>
          <w:sz w:val="20"/>
          <w:szCs w:val="20"/>
        </w:rPr>
        <w:t>г) справка о рождении, выданная органами записи актов гражданского состояния о том, что сведения об отце ребенка внесены в запись акта о рождении на основании заявления матери ребенка;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9" w:name="Par25"/>
      <w:bookmarkEnd w:id="9"/>
      <w:r w:rsidRPr="00F03583">
        <w:rPr>
          <w:rFonts w:ascii="Times New Roman" w:hAnsi="Times New Roman" w:cs="Times New Roman"/>
          <w:sz w:val="20"/>
          <w:szCs w:val="20"/>
        </w:rPr>
        <w:t>д) 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ar26"/>
      <w:bookmarkEnd w:id="10"/>
      <w:r w:rsidRPr="00F03583">
        <w:rPr>
          <w:rFonts w:ascii="Times New Roman" w:hAnsi="Times New Roman" w:cs="Times New Roman"/>
          <w:sz w:val="20"/>
          <w:szCs w:val="20"/>
        </w:rPr>
        <w:t>е) справка о нахождении родителей (родителя)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 (родитель);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ar27"/>
      <w:bookmarkEnd w:id="11"/>
      <w:r w:rsidRPr="00F03583">
        <w:rPr>
          <w:rFonts w:ascii="Times New Roman" w:hAnsi="Times New Roman" w:cs="Times New Roman"/>
          <w:sz w:val="20"/>
          <w:szCs w:val="20"/>
        </w:rPr>
        <w:t>ж) 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родителях (родителе) из актовой записи о рождении ребенка;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Par28"/>
      <w:bookmarkEnd w:id="12"/>
      <w:r w:rsidRPr="00F03583">
        <w:rPr>
          <w:rFonts w:ascii="Times New Roman" w:hAnsi="Times New Roman" w:cs="Times New Roman"/>
          <w:sz w:val="20"/>
          <w:szCs w:val="20"/>
        </w:rPr>
        <w:lastRenderedPageBreak/>
        <w:t>з) справка органов внутренних дел о том, что место нахождения разыскиваемых родителей (родителя) не установлено;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Par29"/>
      <w:bookmarkEnd w:id="13"/>
      <w:r w:rsidRPr="00F03583">
        <w:rPr>
          <w:rFonts w:ascii="Times New Roman" w:hAnsi="Times New Roman" w:cs="Times New Roman"/>
          <w:sz w:val="20"/>
          <w:szCs w:val="20"/>
        </w:rPr>
        <w:t>и) свидетельство о рождении, в строках "мать" и "отец" которого стоят прочерки, выданное органами записи актов гражданского состояния или консульскими учреждениями Российской Федерации.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Для подтверждения отсутствия родителей (единственного родителя) или невозможности воспитания ими (им) детей достаточно представления одного из перечисленных в настоящем подпункте документов по каждому из родителей;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>5. Копия документа, подтверждающего проживание гражданина на территории Пензенской области: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Par32"/>
      <w:bookmarkEnd w:id="14"/>
      <w:r w:rsidRPr="00F03583">
        <w:rPr>
          <w:rFonts w:ascii="Times New Roman" w:hAnsi="Times New Roman" w:cs="Times New Roman"/>
          <w:sz w:val="20"/>
          <w:szCs w:val="20"/>
        </w:rPr>
        <w:t>а) копия документа, подтверждающего регистрацию по месту жительства или месту пребывания на территории Пензенской области;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Par33"/>
      <w:bookmarkEnd w:id="15"/>
      <w:r w:rsidRPr="00F03583">
        <w:rPr>
          <w:rFonts w:ascii="Times New Roman" w:hAnsi="Times New Roman" w:cs="Times New Roman"/>
          <w:sz w:val="20"/>
          <w:szCs w:val="20"/>
        </w:rPr>
        <w:t>б) копия судебного постановления об установлении факта проживания на территории Пензенской области.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34"/>
      <w:bookmarkEnd w:id="16"/>
      <w:r w:rsidRPr="00F03583">
        <w:rPr>
          <w:rFonts w:ascii="Times New Roman" w:hAnsi="Times New Roman" w:cs="Times New Roman"/>
          <w:sz w:val="20"/>
          <w:szCs w:val="20"/>
        </w:rPr>
        <w:t>6. Документы, содержащие сведения о жилых помещениях, находящихся в собственности гражданина (в случае если права на указанные объекты не зарегистрированы в Едином государственном реестре недвижимости).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Par35"/>
      <w:bookmarkEnd w:id="17"/>
      <w:r w:rsidRPr="00F03583">
        <w:rPr>
          <w:rFonts w:ascii="Times New Roman" w:hAnsi="Times New Roman" w:cs="Times New Roman"/>
          <w:sz w:val="20"/>
          <w:szCs w:val="20"/>
        </w:rPr>
        <w:t>7. Документы (справки), подтверждающие право пользования жилым помещением, занимаемым гражданином и членами его семьи (договор найма, ордер, документ, подтверждающий принятие компетентными органами решения о предоставлении жилого помещения).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Par36"/>
      <w:bookmarkEnd w:id="18"/>
      <w:r w:rsidRPr="00F03583">
        <w:rPr>
          <w:rFonts w:ascii="Times New Roman" w:hAnsi="Times New Roman" w:cs="Times New Roman"/>
          <w:sz w:val="20"/>
          <w:szCs w:val="20"/>
        </w:rPr>
        <w:t>8. Документы (справки) о наличии или отсутствии жилых помещений, принадлежащих гражданину на праве собственности (в случае если права на указанные объекты зарегистрированы в Едином государственном реестре недвижимости).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Par37"/>
      <w:bookmarkEnd w:id="19"/>
      <w:r w:rsidRPr="00F03583">
        <w:rPr>
          <w:rFonts w:ascii="Times New Roman" w:hAnsi="Times New Roman" w:cs="Times New Roman"/>
          <w:sz w:val="20"/>
          <w:szCs w:val="20"/>
        </w:rPr>
        <w:t>9. Копия документа, подтверждающего полномочия законного представителя.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Par38"/>
      <w:bookmarkEnd w:id="20"/>
      <w:r w:rsidRPr="00F03583">
        <w:rPr>
          <w:rFonts w:ascii="Times New Roman" w:hAnsi="Times New Roman" w:cs="Times New Roman"/>
          <w:sz w:val="20"/>
          <w:szCs w:val="20"/>
        </w:rPr>
        <w:t>10. Сведения о регистрации лица, которое достигло возраста 23 лет по месту жительства или месту пребывания на территории Российской Федерации с момента достижения им возраста 18 лет либо приобретения полной дееспособности до достижения им совершеннолетия до даты подачи заявления о включении в список.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 xml:space="preserve">С заявлением о включении граждан в Список должны быть представлены документы, указанные в </w:t>
      </w:r>
      <w:hyperlink w:anchor="Par15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пунктах 1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16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2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19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подпункте "б" пункта 3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33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подпункте "б" пункта 5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34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пунктах 6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37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9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38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10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 настоящего Перечня.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3583">
        <w:rPr>
          <w:rFonts w:ascii="Times New Roman" w:hAnsi="Times New Roman" w:cs="Times New Roman"/>
          <w:sz w:val="20"/>
          <w:szCs w:val="20"/>
        </w:rPr>
        <w:t xml:space="preserve">В случае отсутствия личного дела несовершеннолетнего подопечного в органах опеки и попечительства, осуществляющих деятельность на территории Пензенской области, и в их архивах, дополнительно представляются документы, указанные в </w:t>
      </w:r>
      <w:hyperlink w:anchor="Par21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подпунктах "а"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2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"б"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3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"в"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4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"г"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5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"д"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6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"е"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7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"ж"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9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"и" пункта 4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 настоящего Перечня.</w:t>
      </w:r>
    </w:p>
    <w:p w:rsidR="00F03583" w:rsidRPr="00F03583" w:rsidRDefault="00F03583" w:rsidP="00F035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3583">
        <w:rPr>
          <w:rFonts w:ascii="Times New Roman" w:hAnsi="Times New Roman" w:cs="Times New Roman"/>
          <w:sz w:val="20"/>
          <w:szCs w:val="20"/>
        </w:rPr>
        <w:t xml:space="preserve">Документы (либо сведения, содержащиеся в них), указанные в </w:t>
      </w:r>
      <w:hyperlink w:anchor="Par18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подпункте "а" пункта 3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8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подпункте "з" пункта 4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1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подпунктах "а"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2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"б"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3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"в"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4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"г"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5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"д"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6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"е"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7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"ж"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29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"и" пункта 4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 настоящего Перечня (в случае наличия личного дела несовершеннолетнего подопечного в органах опеки и попечительства, осуществляющих деятельность на территории Пензенской области, и в их архивах), </w:t>
      </w:r>
      <w:hyperlink w:anchor="Par32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подпункте "а" пункта 5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35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пунктах 7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hyperlink w:anchor="Par36" w:history="1">
        <w:r w:rsidRPr="00F03583">
          <w:rPr>
            <w:rFonts w:ascii="Times New Roman" w:hAnsi="Times New Roman" w:cs="Times New Roman"/>
            <w:color w:val="0000FF"/>
            <w:sz w:val="20"/>
            <w:szCs w:val="20"/>
          </w:rPr>
          <w:t>8</w:t>
        </w:r>
      </w:hyperlink>
      <w:r w:rsidRPr="00F03583">
        <w:rPr>
          <w:rFonts w:ascii="Times New Roman" w:hAnsi="Times New Roman" w:cs="Times New Roman"/>
          <w:sz w:val="20"/>
          <w:szCs w:val="20"/>
        </w:rPr>
        <w:t xml:space="preserve"> настоящего Перечня</w:t>
      </w:r>
      <w:proofErr w:type="gramEnd"/>
      <w:r w:rsidRPr="00F0358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F03583">
        <w:rPr>
          <w:rFonts w:ascii="Times New Roman" w:hAnsi="Times New Roman" w:cs="Times New Roman"/>
          <w:sz w:val="20"/>
          <w:szCs w:val="20"/>
        </w:rPr>
        <w:t xml:space="preserve">а также документы, подтверждающие регистрацию лиц, достигших возраста 23 лет по месту жительства или месту пребывания, </w:t>
      </w:r>
      <w:proofErr w:type="spellStart"/>
      <w:r w:rsidRPr="00F03583">
        <w:rPr>
          <w:rFonts w:ascii="Times New Roman" w:hAnsi="Times New Roman" w:cs="Times New Roman"/>
          <w:sz w:val="20"/>
          <w:szCs w:val="20"/>
        </w:rPr>
        <w:t>истребуются</w:t>
      </w:r>
      <w:proofErr w:type="spellEnd"/>
      <w:r w:rsidRPr="00F03583">
        <w:rPr>
          <w:rFonts w:ascii="Times New Roman" w:hAnsi="Times New Roman" w:cs="Times New Roman"/>
          <w:sz w:val="20"/>
          <w:szCs w:val="20"/>
        </w:rPr>
        <w:t xml:space="preserve"> в установленном порядке уполномоченным органом по межведомственным запросам у органов государственной власти, органов местного самоуправления и подведомственных таким органам организаций, в распоряжении которых находятся указанные документы (либо сведения, содержащиеся в них), в случае если они не были представлены заявителем по собственной инициативе.</w:t>
      </w:r>
      <w:proofErr w:type="gramEnd"/>
    </w:p>
    <w:p w:rsidR="001660D5" w:rsidRDefault="001660D5"/>
    <w:sectPr w:rsidR="001660D5" w:rsidSect="00023A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BE"/>
    <w:rsid w:val="001660D5"/>
    <w:rsid w:val="00F03583"/>
    <w:rsid w:val="00F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Лошманова</dc:creator>
  <cp:keywords/>
  <dc:description/>
  <cp:lastModifiedBy>Мария Лошманова</cp:lastModifiedBy>
  <cp:revision>3</cp:revision>
  <dcterms:created xsi:type="dcterms:W3CDTF">2020-04-13T10:34:00Z</dcterms:created>
  <dcterms:modified xsi:type="dcterms:W3CDTF">2020-04-13T10:35:00Z</dcterms:modified>
</cp:coreProperties>
</file>